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Greetings,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We are writing to ask that you consider sponsoring a local event that can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powerfully change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the way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boys and young men are raised and educated in your community.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This event will bring you and the organization considerable exposure, and bring together stakeholders in your area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who care deeply about the developmental needs of boys and men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 Michael Gurian and the Gurian Institute will co-sponsor and help you to lead this event.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Renowned marriage and family counselor Michael Gurian (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rtl w:val="0"/>
          </w:rPr>
          <w:t xml:space="preserve">www.michaelgurian.com</w:t>
        </w:r>
      </w:hyperlink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) began studying the development of boys and men over two decades ago. Fifteen years ago, after publishing THE WONDER OF BOYS, he co-founded the Gurian Institute in order to facilitate diverse grass-roots support for research and training in male and female development. 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Michael and the Institute have served more than 60,000 teachers and more than 100,000 parents.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Michael has identified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eight key needs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in male development that each community must nurture if boys are to succeed in family, school, and life.   The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Helping Boys Thrive Summit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™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is a one-day event that can focus awareness and offer transformation on some or all of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these key needs: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protecting the emotional lives of boys,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mother-son and father-son relationships,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adolescent rites of passage for boys,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education and schooling that fits boys’ learning styles,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character building and character education,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mentoring systems and male mentoring,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how faith communities can help boys, and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preparing boys for workplace success.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486"/>
        </w:tabs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486"/>
        </w:tabs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Michael and our Gurian Institute team feel certain that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you are already working in one or more of these areas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 We also believe that you know others who are committed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to nurturing young males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 We believe that you could provide or form a team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to lead a local event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that would garner major exposure and serve hundreds of people in one place, in your town.  While there is no magic bullet for solving problems faced by males,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education and positive change begin with people like you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raising awareness and providing evidence- and science-based solutions locally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Thus, we hope you will sponsor a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 Helping Boys Thrive Summit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™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Should you decide to do so, Michael and the Gurian Institute (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rtl w:val="0"/>
          </w:rPr>
          <w:t xml:space="preserve">www.gurianinstitute.com</w:t>
        </w:r>
      </w:hyperlink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) will provide you with a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comprehensive template for running the event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(based on the more than one hundred events we have run). 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The template includes: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 “How to” manual for organization (including outreach to breakout presenters, venue/vendor suggestions, and step-by-step best practices).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 Donor and Sponsor letter you can modify to approach underwriters to help with the costs of the event.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Flyer and press release templates, with language and imagery you can use with the press and in advertising.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Michael Gurian as the keynoter.  Organizers are often able to garner strong media attention for his appearances.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Dakota Hoyt and/or regional certified trainer as breakout presenter on how to help boys thrive in school, from Pre-K through college.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/>
        <w:ind w:left="360" w:hanging="358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Phone, Skype, and online mentoring throughout the preparation and execution of the event.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Please contact Michael at 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rtl w:val="0"/>
          </w:rPr>
          <w:t xml:space="preserve">michaelgurian@comcast.net</w:t>
        </w:r>
      </w:hyperlink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or Dakota Hoyt at 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rtl w:val="0"/>
          </w:rPr>
          <w:t xml:space="preserve">dakota@gurianinstitute.com</w:t>
        </w:r>
      </w:hyperlink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if you are interested in continuing this conversation.  We hope you will join us in taking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boys’ work and nurturance to the next level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in your community.  Thank you for your consideration, and I look speaking with you.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Yours sincerely,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Dakota Hoyt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Executive Director, the Gurian Institute</w:t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Michael Gurian</w:t>
      </w:r>
    </w:p>
    <w:p w:rsidP="00000000" w:rsidRPr="00000000" w:rsidR="00000000" w:rsidDel="00000000" w:rsidRDefault="00000000">
      <w:pPr>
        <w:spacing w:lineRule="auto" w:after="0" w:line="240"/>
        <w:ind w:left="57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President, the Gurian Institute</w:t>
      </w:r>
      <w:r w:rsidRPr="00000000" w:rsidR="00000000" w:rsidDel="00000000">
        <w:rPr>
          <w:rtl w:val="0"/>
        </w:rPr>
      </w:r>
    </w:p>
    <w:sectPr>
      <w:headerReference r:id="rId9" w:type="default"/>
      <w:footerReference r:id="rId10" w:type="default"/>
      <w:pgSz w:w="12240" w:h="15840"/>
      <w:pgMar w:left="720" w:right="720" w:top="173" w:bottom="18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/>
      <w:contextualSpacing w:val="0"/>
      <w:jc w:val="center"/>
    </w:pPr>
    <w:r w:rsidRPr="00000000" w:rsidR="00000000" w:rsidDel="00000000">
      <w:rPr>
        <w:rtl w:val="0"/>
      </w:rPr>
      <w:t xml:space="preserve">521 Squire Street, Colorado Springs, CO 80911  Toll Free: (877) 382-7653  Office: (719) 671-3720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tbl>
    <w:tblPr>
      <w:tblStyle w:val="KixTable1"/>
      <w:bidiVisual w:val="0"/>
      <w:tblW w:w="9576.0" w:type="dxa"/>
      <w:jc w:val="left"/>
      <w:tblInd w:w="98.0" w:type="dxa"/>
      <w:tblBorders>
        <w:top w:color="000000" w:space="0" w:val="single" w:sz="4"/>
        <w:left w:color="000000" w:space="0" w:val="single" w:sz="4"/>
        <w:bottom w:color="000000" w:space="0" w:val="single" w:sz="4"/>
        <w:right w:color="000000" w:space="0" w:val="single" w:sz="4"/>
        <w:insideH w:color="000000" w:space="0" w:val="single" w:sz="4"/>
        <w:insideV w:color="000000" w:space="0" w:val="single" w:sz="4"/>
      </w:tblBorders>
      <w:tblLayout w:type="fixed"/>
      <w:tblLook w:val="0000"/>
    </w:tblPr>
    <w:tblGrid>
      <w:gridCol w:w="2538"/>
      <w:gridCol w:w="7038"/>
    </w:tblGrid>
    <w:tr>
      <w:trPr>
        <w:trHeight w:val="1620" w:hRule="atLeast"/>
      </w:trPr>
      <w:tc>
        <w:tcPr>
          <w:tcMar>
            <w:top w:w="100.0" w:type="dxa"/>
            <w:left w:w="108.0" w:type="dxa"/>
            <w:bottom w:w="100.0" w:type="dxa"/>
            <w:right w:w="108.0" w:type="dxa"/>
          </w:tcMar>
        </w:tcPr>
        <w:p w:rsidP="00000000" w:rsidRPr="00000000" w:rsidR="00000000" w:rsidDel="00000000" w:rsidRDefault="00000000">
          <w:pPr>
            <w:spacing w:lineRule="auto" w:after="0"/>
            <w:contextualSpacing w:val="0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spacing w:lineRule="auto" w:after="0"/>
            <w:contextualSpacing w:val="0"/>
          </w:pPr>
          <w:r w:rsidRPr="00000000" w:rsidR="00000000" w:rsidDel="00000000">
            <w:drawing>
              <wp:inline distR="0" distT="0" distB="0" distL="0">
                <wp:extent cy="1076770" cx="1342275"/>
                <wp:effectExtent t="0" b="0" r="0" l="0"/>
                <wp:docPr id="1" name="image00.png"/>
                <a:graphic>
                  <a:graphicData uri="http://schemas.openxmlformats.org/drawingml/2006/picture">
                    <pic:pic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 t="0" b="0" r="0" l="0"/>
                        <a:stretch>
                          <a:fillRect/>
                        </a:stretch>
                      </pic:blipFill>
                      <pic:spPr>
                        <a:xfrm>
                          <a:ext cy="1076770" cx="1342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108.0" w:type="dxa"/>
            <w:bottom w:w="100.0" w:type="dxa"/>
            <w:right w:w="108.0" w:type="dxa"/>
          </w:tcMar>
        </w:tcPr>
        <w:p w:rsidP="00000000" w:rsidRPr="00000000" w:rsidR="00000000" w:rsidDel="00000000" w:rsidRDefault="00000000">
          <w:pPr>
            <w:tabs>
              <w:tab w:val="center" w:pos="4680"/>
              <w:tab w:val="right" w:pos="9360"/>
            </w:tabs>
            <w:spacing w:lineRule="auto" w:after="0" w:line="240"/>
            <w:contextualSpacing w:val="0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tabs>
              <w:tab w:val="center" w:pos="4680"/>
              <w:tab w:val="right" w:pos="9360"/>
            </w:tabs>
            <w:spacing w:lineRule="auto" w:after="0" w:line="240"/>
            <w:contextualSpacing w:val="0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tabs>
              <w:tab w:val="center" w:pos="4680"/>
              <w:tab w:val="right" w:pos="9360"/>
            </w:tabs>
            <w:spacing w:lineRule="auto" w:after="0" w:line="240"/>
            <w:contextualSpacing w:val="0"/>
          </w:pPr>
          <w:r w:rsidRPr="00000000" w:rsidR="00000000" w:rsidDel="00000000">
            <w:rPr>
              <w:rFonts w:cs="Verdana" w:hAnsi="Verdana" w:eastAsia="Verdana" w:ascii="Verdana"/>
              <w:b w:val="1"/>
              <w:sz w:val="44"/>
              <w:rtl w:val="0"/>
            </w:rPr>
            <w:t xml:space="preserve">   The Gurian Institute                </w:t>
          </w: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spacing w:lineRule="auto" w:after="0"/>
            <w:contextualSpacing w:val="0"/>
          </w:pPr>
          <w:r w:rsidRPr="00000000" w:rsidR="00000000" w:rsidDel="00000000">
            <w:rPr>
              <w:rFonts w:cs="Times New Roman" w:hAnsi="Times New Roman" w:eastAsia="Times New Roman" w:ascii="Times New Roman"/>
              <w:b w:val="1"/>
              <w:sz w:val="48"/>
              <w:rtl w:val="0"/>
            </w:rPr>
            <w:t xml:space="preserve">     </w:t>
          </w:r>
          <w:r w:rsidRPr="00000000" w:rsidR="00000000" w:rsidDel="00000000">
            <w:rPr>
              <w:rFonts w:cs="Verdana" w:hAnsi="Verdana" w:eastAsia="Verdana" w:ascii="Verdana"/>
              <w:sz w:val="28"/>
              <w:rtl w:val="0"/>
            </w:rPr>
            <w:t xml:space="preserve">Learning through a Gender Lens</w:t>
          </w:r>
          <w:r w:rsidRPr="00000000" w:rsidR="00000000" w:rsidDel="00000000">
            <w:rPr>
              <w:rtl w:val="0"/>
            </w:rPr>
          </w:r>
        </w:p>
      </w:tc>
    </w:tr>
  </w:tbl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144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75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10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11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76" w:before="480"/>
    </w:pPr>
    <w:rPr>
      <w:rFonts w:cs="Calibri" w:hAnsi="Calibri" w:eastAsia="Calibri" w:ascii="Calibri"/>
      <w:b w:val="1"/>
      <w:color w:val="000000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line="276" w:before="360"/>
    </w:pPr>
    <w:rPr>
      <w:rFonts w:cs="Calibri" w:hAnsi="Calibri" w:eastAsia="Calibri" w:ascii="Calibri"/>
      <w:b w:val="1"/>
      <w:color w:val="000000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line="276" w:before="280"/>
    </w:pPr>
    <w:rPr>
      <w:rFonts w:cs="Calibri" w:hAnsi="Calibri" w:eastAsia="Calibri" w:ascii="Calibri"/>
      <w:b w:val="1"/>
      <w:color w:val="000000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line="276" w:before="240"/>
    </w:pPr>
    <w:rPr>
      <w:rFonts w:cs="Calibri" w:hAnsi="Calibri" w:eastAsia="Calibri" w:ascii="Calibri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line="276" w:before="220"/>
    </w:pPr>
    <w:rPr>
      <w:rFonts w:cs="Calibri" w:hAnsi="Calibri" w:eastAsia="Calibri" w:ascii="Calibri"/>
      <w:b w:val="1"/>
      <w:color w:val="000000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line="276" w:before="200"/>
    </w:pPr>
    <w:rPr>
      <w:rFonts w:cs="Calibri" w:hAnsi="Calibri" w:eastAsia="Calibri" w:ascii="Calibri"/>
      <w:b w:val="1"/>
      <w:color w:val="000000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line="276" w:before="480"/>
    </w:pPr>
    <w:rPr>
      <w:rFonts w:cs="Calibri" w:hAnsi="Calibri" w:eastAsia="Calibri" w:ascii="Calibri"/>
      <w:b w:val="1"/>
      <w:color w:val="000000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line="276" w:before="360"/>
    </w:pPr>
    <w:rPr>
      <w:rFonts w:cs="Georgia" w:hAnsi="Georgia" w:eastAsia="Georgia" w:ascii="Georgia"/>
      <w:b w:val="0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footer1.xml" Type="http://schemas.openxmlformats.org/officeDocument/2006/relationships/foot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9"/><Relationship Target="http://www.gurianinstitute.com" Type="http://schemas.openxmlformats.org/officeDocument/2006/relationships/hyperlink" TargetMode="External" Id="rId6"/><Relationship Target="http://www.michaelgurian.com" Type="http://schemas.openxmlformats.org/officeDocument/2006/relationships/hyperlink" TargetMode="External" Id="rId5"/><Relationship Target="mailto:dakota@gurianinstitute.com" Type="http://schemas.openxmlformats.org/officeDocument/2006/relationships/hyperlink" TargetMode="External" Id="rId8"/><Relationship Target="mailto:michaelgurian@comcast.net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HelpingBoysThrive_sponsorletter1.docx</dc:title>
</cp:coreProperties>
</file>